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42</w:t>
      </w:r>
    </w:p>
    <w:p>
      <w:r>
        <w:t>Bundesgericht (BGE), 1995-01-18, DE</w:t>
      </w:r>
    </w:p>
    <w:p>
      <w:r>
        <w:rPr>
          <w:b/>
        </w:rPr>
        <w:t xml:space="preserve">Quelle: </w:t>
      </w:r>
      <w:r>
        <w:t>https://mcp.opencaselaw.ch/entscheid/bge_121 I 42</w:t>
      </w:r>
    </w:p>
    <w:p>
      <w:r>
        <w:t>FR: ATF 121 I 42</w:t>
      </w:r>
    </w:p>
    <w:p>
      <w:r>
        <w:t>IT: DTF 121 I 42</w:t>
      </w:r>
    </w:p>
    <w:p>
      <w:pPr>
        <w:pStyle w:val="Heading2"/>
      </w:pPr>
      <w:r>
        <w:t>Regeste</w:t>
      </w:r>
    </w:p>
    <w:p>
      <w:r>
        <w:t>Regeste Art. 84 ff. OG; Anfechtbarkeit von Aufsichtsentscheiden mit staatsrechtlicher Beschwerde. Entscheide, mit welchen auf eine Aufsichtsbeschwerde nicht eingetreten, diese abgewiesen oder ihr keine Folge gegeben wird, sind nicht mit staatsrechtlicher Beschwerde anfechtbar (E. 2a; Bestätigung der Rechtsprechung). Aufsichtsrechtlicher Charakter eines Verfahrens vor dem Freiburger Staatsrat, in dem der Gesuchsteller die Beseitigung der religiösen Symbole aus den Gerichtsräumen des Kantons Freiburg verlangte (E. 2b-e). Art. 84 ff. OG; Art. 49 BV; Rechtsschutz gegen die Ausstattung der Gerichtssäle mit Kruzifixen. Soweit nicht ein Rechtssatz angefochten wird, ist als Anfechtungsobjekt der staatsrechtlichen Beschwerde ein individuell-konkreter, den Beschwerdeführer persönlich treffender Akt erforderlich. Grundsätzliche Anfechtbarkeit des Entscheids, die Hauptverhandlung eines Ehescheidungsprozesses nicht in einem Saal ohne Kruzifix durchzuführen (E. 3).</w:t>
      </w:r>
    </w:p>
    <w:p>
      <w:pPr>
        <w:pStyle w:val="Heading2"/>
      </w:pPr>
      <w:r>
        <w:t>Erwägungen</w:t>
      </w:r>
    </w:p>
    <w:p>
      <w:r>
        <w:rPr>
          <w:b/>
        </w:rPr>
        <w:t>E. 2</w:t>
      </w:r>
    </w:p>
    <w:p>
      <w:r>
        <w:t>a) Nach der ständigen Rechtsprechung kann der Entscheid einer Behörde, auf eine Aufsichtsbeschwerde nicht einzutreten, sie abzuweisen oder ihr keine Folge zu geben, nicht mit staatsrechtlicher Beschwerde angefochten werden ( BGE 116 Ia 8 E. 1a S. 10; BGE 109 Ia 251 E. 3 S. 252; BGE 106 Ia 310 E. 6 S. 321). Dem Aufsichtsmassnahmen ablehnenden Beschluss fehlt der Verfügungscharakter, da er keinen Akt darstellt, der ein Verhältnis zwischen der Verwaltung und einem Bürger verbindlich regelt ( BGE 102 Ib 81 E. 3 S. 85). Zugleich geht dem Aufsichtsbeschwerdeführer das nach Art. 88 OG vorausgesetzte rechtlich geschützte Interesse ab, da die Einreichung einer Aufsichtsbeschwerde keinen Anspruch auf materielle Prüfung und Erledigung vermittelt ( BGE 109 Ia 251 E. 3 S. 252). b) Der Beschwerdeführer bezeichnete seine Eingabe an das Kantonsgericht vom 22. Oktober 1990, mit welcher er die Beseitigung der religiösen Symbole aus den Gerichtsräumen verlangte, als "Aufsichtsbeschwerde". Auch der Staatsrat, an den die Angelegenheit in der Folge weitergeleitet wurde, stufte sie als Aufsichtsbeschwerde ein. In den Erwägungen seines Entscheids führte er allerdings einleitend aus, der Beschwerdeführer besitze als Einwohner des Kantons Freiburg und als in diesem Kanton zugelassener Anwalt die erforderliche Aktivlegitimation, zumal er ein aktuelles und schützenswertes Interesse geltend machen könne. Unter Hinweis auf diese Feststellung des Staatsrats erachtet sich der Beschwerdeführer zur Einreichung einer staatsrechtlichen Beschwerde legitimiert. Zwar habe er seine Eingabe seinerzeit als Aufsichtsbeschwerde bezeichnet. Da es aber um die Durchsetzung eines verfassungsrechtlichen Anspruchs gehe, müssten die für das streitige Verwaltungs- bzw. Verwaltungsjustizverfahren geltenden Verfahrensbestimmungen Anwendung finden. Der Staatsrat vertritt demgegenüber die Auffassung, sein Entscheid, der Aufsichtsbeschwerde keine Folge zu geben, stelle keinen mit staatsrechtlicher Beschwerde anfechtbaren Akt dar. c) Nach dem kantonalen Recht bestimmt sich, welchen Charakter das vor dem Kantonsgericht bzw. dem Staatsrat durchgeführte kantonale Verfahren hatte. Der Beschwerdeführer stützt sein Begehren um Entfernung der religiösen Symbole aus den Gerichtssälen ausdrücklich auf Art. 95 des Gesetzes über BGE 121 I 42 S. 46 die Gerichtsorganisation vom 22. November 1949 (Gerichtsorganisationsgesetz, GOG). Nach dieser Bestimmung übt das Kantonsgericht unter Vorbehalt der Unabhängigkeit der Urteile die unmittelbare Aufsicht über die Gerichtsverwaltung aus (Abs. 1). Es überwacht seine Mitglieder sowie die übrigen Behörden und Beamten des Gerichtswesens in ihrer Amtsführung (Abs. 2) und gibt diesen von Amtes wegen oder auf Gesuch hin die nötigen Weisungen (Abs. 3). Dem Staatsrat obliegt gemäss Art. 96 GOG die Aufgabe, allgemein die Gerichtsverwaltung zu überwachen (Abs. 1). Seine Beobachtungen hat er dem Kantonsgericht zu übermitteln, und schwere Fälle kann er vor den Grossen Rat bringen (Abs. 2). Eine mit dieser Regelung übereinstimmende Kompetenzvorschrift enthält Art. 52 Abs. 1 lit. h der Staatsverfassung vom 7. Mai 1857 (KV; SR 131.219), nach welcher der Staatsrat den allgemeinen Justizgang zu überwachen hat. Schliesslich sehen die Art. 122 ff. GOG vor, dass der Staat dem Kantonsgericht Räumlichkeiten und Mobiliar zur Verfügung stellt, während dafür bei den Bezirks- und Friedensgerichten die betreffenden Gemeinden zu sorgen haben. Nötigenfalls trifft der Staatsrat auf Kosten der Gemeinden die erforderlichen Massnahmen (Art. 129 GOG). Er erlässt auch ein Reglement mit den für die Verhandlungssäle und anderen Räumlichkeiten, die Archive, das Bedarfsmaterial und die Gefängnisse nötigen Vorschriften, soweit das Gesetz keine diesbezüglichen Bestimmungen enthält (Art. 130 GOG). d) Wie die erwähnten Aufsichtsfunktionen von Kantonsgericht und Staatsrat voneinander abzugrenzen sind, bedarf an dieser Stelle keiner weiteren Abklärung. Jedenfalls handelte der Staatsrat, wenn er aufgrund der ihm überwiesenen Eingabe des Beschwerdeführers über eine allfällige Anweisung betreffend Ausgestaltung der Gerichtsräumlichkeiten zu entscheiden hatte, nicht im Rahmen eines individualrechtlichen Rechtsschutzverfahrens, sondern als Aufsichtsbehörde im Sinne von Art. 52 Abs. 1 lit. h KV und Art. 96 GOG. Nach Art. 112 des Gesetzes über die Verwaltungsrechtspflege vom 23. Mai 1991 (VRG) verschafft die Einreichung einer Aufsichtsbeschwerde, vorbehältlich besonderer spezialgesetzlicher Bestimmungen, keine Parteirechte. Der Anzeiger hat lediglich Anspruch darauf, dass ihm die angegangene Behörde mitteilt, ob sie aufgrund der Aufsichtsbeschwerde etwas veranlasst hat oder nicht (Art. 112 Abs. 2 VRG). Dass und gegebenenfalls aufgrund welcher kantonaler Bestimmungen vorliegend etwas anderes gelten sollte, ist nicht ersichtlich. Der Hinweis des Beschwerdeführers auf Art. 11 BGE 121 I 42 S. 47 Abs. 1 lit. a VRG ist nicht stichhaltig, da sich diese Vorschrift offensichtlich nur auf Verfügungsverfahren und nicht auch auf Aufsichtsbeschwerden bezieht. Für letztere gilt die Spezialregelung von Art. 112 VRG. Die Tatsache, dass im angefochtenen Entscheid von der "Aktivlegitimation" des Beschwerdeführers die Rede ist, stellt die Einstufung der Eingabe als Aufsichtsbeschwerde ebenfalls nicht in Frage. Wohl ist die Befugnis zur Einreichung einer solchen an keine besonderen Legitimationsvoraussetzungen geknüpft. Insofern mag die erwähnte Legitimationserwägung des angefochtenen Entscheids unpassend erscheinen. Es ist einer Aufsichtsbehörde jedoch nicht verwehrt, die - in ihr Ermessen gestellte - Prüfung eines Anliegens wie in einem förmlichen Rechtsschutzverfahren davon abhängig zu machen, ob der Anzeiger durch die beanstandeten Verhältnisse in schutzwürdigen eigenen Interessen berührt ist, die allenfalls eine Intervention rechtfertigen könnten, oder ob es sich um Vorbringen handelt, deren aufsichtsrechtliche Behandlung weder im allgemeinen noch im Interesse des Anzeigers geboten erscheint. Im übrigen wird die Eingabe des Beschwerdeführers im angefochtenen Entscheid durchwegs als Aufsichtsbeschwerde bezeichnet, und der Staatsrat leitete seine Kompetenz zu ihrer Behandlung aus den erwähnten Bestimmungen des Gerichtsorganisationsgesetzes ab, welche die Aufsicht über die Justizverwaltung regeln. Unter ausdrücklichem Hinweis auf die erwähnte Sondervorschrift von Art. 134 VRG, wonach Aufsichtsbeschwerden grundsätzlich kostenlos sind, verzichtete der Staatsrat auch auf die Erhebung von Verfahrenskosten. e) Das vor dem Kantonsgericht bzw. dem Staatsrat durchgeführte Verfahren hatte somit rein aufsichtsrechtlichen Charakter. Bei dieser Sachlage kann nach der angeführten Rechtsprechung der angefochtene abschlägige Entscheid des Staatsrats nicht mit staatsrechtlicher Beschwerde angefochten werden. Dies gilt auch, soweit der Beschwerdeführer eine Verletzung von Parteirechten rügt, da dem Anzeiger im Aufsichtsbeschwerdeverfahren wie erwähnt von vornherein keine Parteistellung zukommt. Der Rechtsuchende kann in diesem Zusammenhang allein geltend machen, es sei seine Eingabe zu Unrecht als blosse Aufsichtsbeschwerde und nicht als förmliches Rechtsmittel behandelt und ihm daher zu Unrecht die Parteistellung abgesprochen worden ( BGE 119 Ia 4 E. 1 S. 5; zur Publikation bestimmtes Urteil des Bundesgerichts vom 18. Januar 1995 i.S. VPM c. Regierungsrat des Kantons Zürich, E. 1c). Einen solchen Vorwurf erhebt der Beschwerdeführer BGE 121 I 42 S. 48 zu Recht nicht, hat er doch seine Eingabe an das Kantonsgericht ausdrücklich als Aufsichtsbeschwerde bezeichnet.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